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C05D85">
        <w:t>37</w:t>
      </w:r>
    </w:p>
    <w:p w:rsidR="00C308D0" w:rsidRDefault="00C308D0">
      <w:pPr>
        <w:tabs>
          <w:tab w:val="left" w:pos="-1440"/>
          <w:tab w:val="left" w:pos="-720"/>
          <w:tab w:val="left" w:pos="0"/>
          <w:tab w:val="left" w:pos="720"/>
          <w:tab w:val="right" w:pos="9360"/>
        </w:tabs>
      </w:pPr>
      <w:proofErr w:type="gramStart"/>
      <w:r>
        <w:t>A</w:t>
      </w:r>
      <w:proofErr w:type="gramEnd"/>
      <w:r>
        <w:tab/>
      </w:r>
      <w:r w:rsidR="004651DF">
        <w:t>11</w:t>
      </w:r>
      <w:r>
        <w:tab/>
      </w:r>
      <w:r w:rsidR="004105F4">
        <w:t>06/01</w:t>
      </w:r>
      <w:r w:rsidR="000068EF">
        <w:t>/09</w:t>
      </w:r>
    </w:p>
    <w:p w:rsidR="00C308D0" w:rsidRDefault="00C308D0">
      <w:pPr>
        <w:tabs>
          <w:tab w:val="right" w:pos="9360"/>
        </w:tabs>
      </w:pPr>
      <w:r>
        <w:tab/>
      </w:r>
      <w:bookmarkStart w:id="0" w:name="QuickMark"/>
      <w:bookmarkEnd w:id="0"/>
      <w:r w:rsidR="004651DF">
        <w:t>G02-03</w:t>
      </w:r>
    </w:p>
    <w:p w:rsidR="00C308D0" w:rsidRDefault="00C308D0">
      <w:pPr>
        <w:tabs>
          <w:tab w:val="left" w:pos="-1440"/>
          <w:tab w:val="left" w:pos="-720"/>
          <w:tab w:val="left" w:pos="0"/>
          <w:tab w:val="left" w:pos="720"/>
          <w:tab w:val="right" w:pos="9360"/>
        </w:tabs>
      </w:pPr>
      <w:r>
        <w:t>S</w:t>
      </w:r>
      <w:r>
        <w:tab/>
      </w:r>
      <w:r w:rsidR="004651DF">
        <w:t>7</w:t>
      </w:r>
      <w:r>
        <w:tab/>
      </w:r>
      <w:r w:rsidR="004651DF">
        <w:t>G. Kato</w:t>
      </w:r>
    </w:p>
    <w:p w:rsidR="00C308D0" w:rsidRDefault="00C308D0"/>
    <w:p w:rsidR="004651DF" w:rsidRDefault="004651DF" w:rsidP="004651DF">
      <w:pPr>
        <w:tabs>
          <w:tab w:val="center" w:pos="4680"/>
        </w:tabs>
        <w:jc w:val="center"/>
        <w:rPr>
          <w:b/>
          <w:noProof/>
        </w:rPr>
      </w:pPr>
      <w:r>
        <w:rPr>
          <w:b/>
          <w:noProof/>
        </w:rPr>
        <w:t>CONSIDER</w:t>
      </w:r>
      <w:r w:rsidR="00603B21">
        <w:rPr>
          <w:b/>
          <w:noProof/>
        </w:rPr>
        <w:t xml:space="preserve"> APPROVAL</w:t>
      </w:r>
      <w:r>
        <w:rPr>
          <w:b/>
          <w:noProof/>
        </w:rPr>
        <w:t xml:space="preserve"> OF A TRUST LAND</w:t>
      </w:r>
      <w:r w:rsidR="008B5A6A">
        <w:rPr>
          <w:b/>
          <w:noProof/>
        </w:rPr>
        <w:t>S</w:t>
      </w:r>
      <w:r>
        <w:rPr>
          <w:b/>
          <w:noProof/>
        </w:rPr>
        <w:t xml:space="preserve"> USE REPORT PURSUANT TO </w:t>
      </w:r>
    </w:p>
    <w:p w:rsidR="000068EF" w:rsidRDefault="004651DF" w:rsidP="004651DF">
      <w:pPr>
        <w:tabs>
          <w:tab w:val="center" w:pos="4680"/>
        </w:tabs>
        <w:jc w:val="center"/>
        <w:rPr>
          <w:b/>
          <w:noProof/>
        </w:rPr>
      </w:pPr>
      <w:r>
        <w:rPr>
          <w:b/>
          <w:noProof/>
        </w:rPr>
        <w:t xml:space="preserve">CHAPTER 275, STATUTES OF 2006, CITY OF PITTSBURG, </w:t>
      </w:r>
    </w:p>
    <w:p w:rsidR="00C308D0" w:rsidRDefault="004651DF" w:rsidP="004651DF">
      <w:pPr>
        <w:tabs>
          <w:tab w:val="center" w:pos="4680"/>
        </w:tabs>
        <w:jc w:val="center"/>
        <w:rPr>
          <w:b/>
        </w:rPr>
      </w:pPr>
      <w:r>
        <w:rPr>
          <w:b/>
          <w:noProof/>
        </w:rPr>
        <w:t>CONTRA COSTA COUNTY</w:t>
      </w:r>
    </w:p>
    <w:p w:rsidR="00C308D0" w:rsidRDefault="00C308D0"/>
    <w:p w:rsidR="00C308D0" w:rsidRDefault="00C308D0">
      <w:pPr>
        <w:rPr>
          <w:b/>
        </w:rPr>
        <w:sectPr w:rsidR="00C308D0" w:rsidSect="00496BCC">
          <w:footerReference w:type="default" r:id="rId8"/>
          <w:type w:val="continuous"/>
          <w:pgSz w:w="12240" w:h="15840" w:code="1"/>
          <w:pgMar w:top="2160" w:right="1440" w:bottom="2160" w:left="1440" w:header="1440" w:footer="720" w:gutter="0"/>
          <w:cols w:space="720"/>
          <w:noEndnote/>
        </w:sectPr>
      </w:pPr>
    </w:p>
    <w:p w:rsidR="00C308D0" w:rsidRDefault="00BA2B6A">
      <w:r>
        <w:rPr>
          <w:b/>
        </w:rPr>
        <w:lastRenderedPageBreak/>
        <w:t>TRUS</w:t>
      </w:r>
      <w:r w:rsidR="004651DF">
        <w:rPr>
          <w:b/>
        </w:rPr>
        <w:t>TEE</w:t>
      </w:r>
      <w:r w:rsidR="00C308D0">
        <w:t>:</w:t>
      </w:r>
    </w:p>
    <w:p w:rsidR="00C308D0" w:rsidRDefault="004651DF">
      <w:pPr>
        <w:ind w:left="720"/>
      </w:pPr>
      <w:r>
        <w:t>City of Pittsburg</w:t>
      </w:r>
    </w:p>
    <w:p w:rsidR="00C308D0" w:rsidRDefault="004651DF">
      <w:pPr>
        <w:ind w:left="720"/>
      </w:pPr>
      <w:r>
        <w:t xml:space="preserve">65 Civic </w:t>
      </w:r>
      <w:proofErr w:type="gramStart"/>
      <w:r>
        <w:t>Avenue</w:t>
      </w:r>
      <w:proofErr w:type="gramEnd"/>
    </w:p>
    <w:p w:rsidR="00C308D0" w:rsidRDefault="004651DF">
      <w:pPr>
        <w:ind w:left="720"/>
      </w:pPr>
      <w:r>
        <w:t>Pittsburg, CA 94565</w:t>
      </w:r>
    </w:p>
    <w:p w:rsidR="00C308D0" w:rsidRDefault="00C308D0"/>
    <w:p w:rsidR="00C308D0" w:rsidRDefault="00BA2B6A">
      <w:r>
        <w:rPr>
          <w:b/>
        </w:rPr>
        <w:t>INTRODUCTION</w:t>
      </w:r>
      <w:r w:rsidR="00C308D0">
        <w:t>:</w:t>
      </w:r>
    </w:p>
    <w:p w:rsidR="005E4BD9" w:rsidRDefault="005E4BD9" w:rsidP="005E4BD9">
      <w:pPr>
        <w:ind w:left="720"/>
      </w:pPr>
      <w:r w:rsidRPr="0095361F">
        <w:rPr>
          <w:rFonts w:cs="Arial"/>
          <w:szCs w:val="24"/>
        </w:rPr>
        <w:t xml:space="preserve">All tide and submerged lands, granted or </w:t>
      </w:r>
      <w:proofErr w:type="spellStart"/>
      <w:r w:rsidRPr="0095361F">
        <w:rPr>
          <w:rFonts w:cs="Arial"/>
          <w:szCs w:val="24"/>
        </w:rPr>
        <w:t>ungranted</w:t>
      </w:r>
      <w:proofErr w:type="spellEnd"/>
      <w:r w:rsidRPr="0095361F">
        <w:rPr>
          <w:rFonts w:cs="Arial"/>
          <w:szCs w:val="24"/>
        </w:rPr>
        <w:t xml:space="preserve">, as well as navigable rivers, sloughs, etc., are impressed with the Common Law Public Trust. </w:t>
      </w:r>
      <w:r>
        <w:rPr>
          <w:rFonts w:cs="Arial"/>
          <w:szCs w:val="24"/>
        </w:rPr>
        <w:t xml:space="preserve"> </w:t>
      </w:r>
      <w:r w:rsidR="00852099">
        <w:rPr>
          <w:rFonts w:cs="Arial"/>
          <w:szCs w:val="24"/>
        </w:rPr>
        <w:t>The P</w:t>
      </w:r>
      <w:r w:rsidRPr="0095361F">
        <w:rPr>
          <w:rFonts w:cs="Arial"/>
          <w:szCs w:val="24"/>
        </w:rPr>
        <w:t>ublic Trust is a sovereign public property right held by the State or its delegated trustee for the benefit of all the people.  This right limits the uses of these lands to water</w:t>
      </w:r>
      <w:r>
        <w:rPr>
          <w:rFonts w:cs="Arial"/>
          <w:szCs w:val="24"/>
        </w:rPr>
        <w:t>-related</w:t>
      </w:r>
      <w:r w:rsidRPr="0095361F">
        <w:rPr>
          <w:rFonts w:cs="Arial"/>
          <w:szCs w:val="24"/>
        </w:rPr>
        <w:t xml:space="preserve"> commerce, navigation, fisheries, open space, recreation, or other recognized Public Trust purposes.  </w:t>
      </w:r>
      <w:r w:rsidR="00891228">
        <w:t xml:space="preserve">The California State Lands Commission (Commission) has been given the responsibility to manage the Public Trust lands in the state, and to represent the state’s and the public’s residual interest and rights in tide and submerged lands legislatively granted in trust to local governmental entities (Public Resources Code Sections 6301, et seq.).  </w:t>
      </w:r>
    </w:p>
    <w:p w:rsidR="005E4BD9" w:rsidRDefault="005E4BD9" w:rsidP="006223D9">
      <w:pPr>
        <w:ind w:left="720"/>
      </w:pPr>
    </w:p>
    <w:p w:rsidR="00C308D0" w:rsidRDefault="006223D9">
      <w:pPr>
        <w:ind w:left="720"/>
      </w:pPr>
      <w:r w:rsidRPr="004105F4">
        <w:t xml:space="preserve">Chapter 275, Statutes of 2006 granted, in trust, to the </w:t>
      </w:r>
      <w:r>
        <w:t>c</w:t>
      </w:r>
      <w:r w:rsidRPr="004105F4">
        <w:t>ity of Pittsburg</w:t>
      </w:r>
      <w:r>
        <w:t xml:space="preserve"> (City)</w:t>
      </w:r>
      <w:r w:rsidRPr="004105F4">
        <w:t>, all of the rig</w:t>
      </w:r>
      <w:r>
        <w:t>ht, title, and interest of the State held by the S</w:t>
      </w:r>
      <w:r w:rsidRPr="004105F4">
        <w:t xml:space="preserve">tate by virtue of its sovereignty in and to all tidelands and submerged lands, whether filled or unfilled, situated within the boundaries of the </w:t>
      </w:r>
      <w:r>
        <w:t>C</w:t>
      </w:r>
      <w:r w:rsidRPr="004105F4">
        <w:t>ity as such boundaries exist</w:t>
      </w:r>
      <w:r>
        <w:t>ed</w:t>
      </w:r>
      <w:r w:rsidRPr="004105F4">
        <w:t xml:space="preserve"> on January 1, 2007. </w:t>
      </w:r>
      <w:r w:rsidR="005E4BD9">
        <w:t xml:space="preserve"> </w:t>
      </w:r>
      <w:r w:rsidR="004651DF">
        <w:t>Pursuant to Chap</w:t>
      </w:r>
      <w:r w:rsidR="00A45EAE">
        <w:t xml:space="preserve">ter 275, Statutes of 2006, the </w:t>
      </w:r>
      <w:r w:rsidR="00603B21">
        <w:t>C</w:t>
      </w:r>
      <w:r w:rsidR="004651DF">
        <w:t>ity</w:t>
      </w:r>
      <w:r>
        <w:t>, as trustee,</w:t>
      </w:r>
      <w:r w:rsidR="004651DF">
        <w:t xml:space="preserve"> is required to submit to the Commission a Trust Lands</w:t>
      </w:r>
      <w:r w:rsidR="000068EF">
        <w:t xml:space="preserve"> Use</w:t>
      </w:r>
      <w:r w:rsidR="004651DF">
        <w:t xml:space="preserve"> Report </w:t>
      </w:r>
      <w:r w:rsidR="00B043D4">
        <w:t xml:space="preserve">(Report) </w:t>
      </w:r>
      <w:r w:rsidR="004651DF">
        <w:t xml:space="preserve">for </w:t>
      </w:r>
      <w:r w:rsidR="00E46549">
        <w:t xml:space="preserve">its </w:t>
      </w:r>
      <w:r w:rsidR="004651DF">
        <w:t>review and approval</w:t>
      </w:r>
      <w:r w:rsidR="00C308D0">
        <w:t>.</w:t>
      </w:r>
      <w:r w:rsidR="004651DF">
        <w:t xml:space="preserve">  </w:t>
      </w:r>
    </w:p>
    <w:p w:rsidR="004651DF" w:rsidRDefault="004651DF">
      <w:pPr>
        <w:ind w:left="720"/>
      </w:pPr>
    </w:p>
    <w:p w:rsidR="004651DF" w:rsidRDefault="004651DF">
      <w:pPr>
        <w:ind w:left="720"/>
      </w:pPr>
      <w:r>
        <w:t xml:space="preserve">The Report </w:t>
      </w:r>
      <w:r w:rsidR="00C741A4">
        <w:t xml:space="preserve">submitted by the City </w:t>
      </w:r>
      <w:r>
        <w:t xml:space="preserve">provides an explanation of the types of uses proposed for the lands legislatively granted to the </w:t>
      </w:r>
      <w:r w:rsidR="00AA3FAC">
        <w:t>C</w:t>
      </w:r>
      <w:r>
        <w:t xml:space="preserve">ity.  In addition, the Report also outlines </w:t>
      </w:r>
      <w:r w:rsidR="008B5A6A">
        <w:t xml:space="preserve">the </w:t>
      </w:r>
      <w:r w:rsidR="00BA2B6A">
        <w:t>C</w:t>
      </w:r>
      <w:r w:rsidR="00603B21">
        <w:t>ity</w:t>
      </w:r>
      <w:r w:rsidR="008B5A6A">
        <w:t>’s</w:t>
      </w:r>
      <w:r>
        <w:t xml:space="preserve"> responsibilities related </w:t>
      </w:r>
      <w:r w:rsidR="00852099">
        <w:t xml:space="preserve">to </w:t>
      </w:r>
      <w:r>
        <w:t>its role as Trustee</w:t>
      </w:r>
      <w:r w:rsidR="00AA3FAC">
        <w:t>,</w:t>
      </w:r>
      <w:r>
        <w:t xml:space="preserve"> on behalf of the State of California and the </w:t>
      </w:r>
      <w:r w:rsidR="00A45EAE">
        <w:t>Commission</w:t>
      </w:r>
      <w:r w:rsidR="00AA3FAC">
        <w:t xml:space="preserve">, in managing its </w:t>
      </w:r>
      <w:r w:rsidR="00852099">
        <w:t>P</w:t>
      </w:r>
      <w:r w:rsidR="00AA3FAC">
        <w:t xml:space="preserve">ublic </w:t>
      </w:r>
      <w:r w:rsidR="00852099">
        <w:t>T</w:t>
      </w:r>
      <w:r w:rsidR="00AA3FAC">
        <w:t>rust lands</w:t>
      </w:r>
      <w:r w:rsidR="00A45EAE">
        <w:t>.</w:t>
      </w:r>
      <w:r w:rsidR="00ED3746">
        <w:t xml:space="preserve">  </w:t>
      </w:r>
      <w:r w:rsidR="00C741A4">
        <w:t>T</w:t>
      </w:r>
      <w:r w:rsidR="00ED3746">
        <w:t xml:space="preserve">he Report represents what the City </w:t>
      </w:r>
      <w:r w:rsidR="008B5A6A">
        <w:t xml:space="preserve">proposes </w:t>
      </w:r>
      <w:r w:rsidR="00ED3746">
        <w:t xml:space="preserve">will be the general land uses of its granted Public Trust lands.  As specific projects are proposed, Commission staff </w:t>
      </w:r>
      <w:r w:rsidR="00ED3746">
        <w:lastRenderedPageBreak/>
        <w:t xml:space="preserve">will </w:t>
      </w:r>
      <w:r w:rsidR="00891228">
        <w:t xml:space="preserve">continue to exercise its oversight jurisdiction in </w:t>
      </w:r>
      <w:r w:rsidR="00ED3746">
        <w:t>review</w:t>
      </w:r>
      <w:r w:rsidR="00891228">
        <w:t>ing</w:t>
      </w:r>
      <w:r w:rsidR="00ED3746">
        <w:t xml:space="preserve"> those specific projects for consistency with the Public Trust Doctrine and the City’s granting statutes.</w:t>
      </w:r>
    </w:p>
    <w:p w:rsidR="005B2FB7" w:rsidRDefault="005B2FB7">
      <w:pPr>
        <w:ind w:left="720"/>
      </w:pPr>
    </w:p>
    <w:p w:rsidR="005B2FB7" w:rsidRDefault="00BA2B6A">
      <w:pPr>
        <w:ind w:left="720"/>
      </w:pPr>
      <w:r>
        <w:t xml:space="preserve">The Pittsburg </w:t>
      </w:r>
      <w:r w:rsidR="005B2FB7">
        <w:t>City Council</w:t>
      </w:r>
      <w:r>
        <w:t xml:space="preserve"> unanimously approved the Report </w:t>
      </w:r>
      <w:r w:rsidR="005B2FB7">
        <w:t xml:space="preserve">on January 20, 2009.  </w:t>
      </w:r>
    </w:p>
    <w:p w:rsidR="005B2FB7" w:rsidRDefault="005B2FB7" w:rsidP="005B2FB7"/>
    <w:p w:rsidR="00BA2B6A" w:rsidRPr="00BA2B6A" w:rsidRDefault="00224EED" w:rsidP="005B2FB7">
      <w:pPr>
        <w:rPr>
          <w:b/>
        </w:rPr>
      </w:pPr>
      <w:r>
        <w:rPr>
          <w:b/>
        </w:rPr>
        <w:t>THE PUBLIC TRUST DOCTRINE AND LEGISLATIVELY GRANTED PUBLIC TRUST LANDS</w:t>
      </w:r>
      <w:r w:rsidR="00BA2B6A" w:rsidRPr="00BA2B6A">
        <w:rPr>
          <w:b/>
        </w:rPr>
        <w:t>:</w:t>
      </w:r>
    </w:p>
    <w:p w:rsidR="00432962" w:rsidRDefault="00852099" w:rsidP="00432962">
      <w:pPr>
        <w:ind w:left="720"/>
      </w:pPr>
      <w:r>
        <w:t>Traditional Public T</w:t>
      </w:r>
      <w:r w:rsidR="00432962">
        <w:t>rust uses are considered to include water-related commerce, navigation, and fisheries.  Harbor development is a</w:t>
      </w:r>
      <w:r w:rsidR="008B5A6A">
        <w:t xml:space="preserve"> classic</w:t>
      </w:r>
      <w:r w:rsidR="00432962">
        <w:t xml:space="preserve"> example of a public trust use, potentially encompassing all three.  And, although courts have recognized that the Public Trust Doctrine is flexible and that it includes water-related public serving and recreational uses, as well as environmental protection, open space, and preservation of scenic areas, the overarching principle of the Public Trust Doctrine is that trust lands and trust assets belong to the statewide public and are to be used to benefit the statewide public rather than for local community or municipal purposes.  </w:t>
      </w:r>
    </w:p>
    <w:p w:rsidR="00432962" w:rsidRDefault="00432962" w:rsidP="00432962"/>
    <w:p w:rsidR="00DA5DDA" w:rsidRDefault="00432962" w:rsidP="00432962">
      <w:pPr>
        <w:ind w:left="720"/>
      </w:pPr>
      <w:r>
        <w:t xml:space="preserve">The same holds true for legislatively granted public trust lands and assets managed by a local government.  Commencing in 1851 and continuing to the present, the California Legislature has periodically transferred sovereign </w:t>
      </w:r>
      <w:r w:rsidR="00852099">
        <w:t>Public T</w:t>
      </w:r>
      <w:r>
        <w:t xml:space="preserve">rust lands to local governmental entities for management purposes.  The </w:t>
      </w:r>
      <w:r w:rsidR="00466A4E">
        <w:t>majority of legislative grants of tidelands are held</w:t>
      </w:r>
      <w:r w:rsidR="00190957">
        <w:t xml:space="preserve"> </w:t>
      </w:r>
      <w:r w:rsidR="00852099">
        <w:t>in trust for Public T</w:t>
      </w:r>
      <w:r>
        <w:t>rust purposes, including water-related commerce, navigation and fish</w:t>
      </w:r>
      <w:r w:rsidR="008B5A6A">
        <w:t>eries.</w:t>
      </w:r>
      <w:r>
        <w:t xml:space="preserve">  However, the terms of these grants can vary.  </w:t>
      </w:r>
    </w:p>
    <w:p w:rsidR="00DA5DDA" w:rsidRDefault="00DA5DDA" w:rsidP="00432962">
      <w:pPr>
        <w:ind w:left="720"/>
      </w:pPr>
    </w:p>
    <w:p w:rsidR="00432962" w:rsidRDefault="00432962" w:rsidP="00432962">
      <w:pPr>
        <w:ind w:left="720"/>
      </w:pPr>
      <w:r>
        <w:t xml:space="preserve">As to any particular trustee, the terms of the trust must be derived from both the original and all supplementary and amendatory legislation, as well as general legislation applying to all such trust grants.  The usual granting language utilized by the Legislature has the effect of conveying the State’s legal title to the described tide and submerged lands, subject to certain terms and conditions and subject to the statutory and Common Law </w:t>
      </w:r>
      <w:r w:rsidR="00B043D4">
        <w:t>P</w:t>
      </w:r>
      <w:r>
        <w:t xml:space="preserve">ublic </w:t>
      </w:r>
      <w:r w:rsidR="00B043D4">
        <w:t>T</w:t>
      </w:r>
      <w:r>
        <w:t xml:space="preserve">rust.  </w:t>
      </w:r>
      <w:r w:rsidR="00466A4E">
        <w:t xml:space="preserve">The effect of the legislative grant is, therefore, to create a trust in which the grantee is trustee, and the State is the </w:t>
      </w:r>
      <w:proofErr w:type="spellStart"/>
      <w:r w:rsidR="00466A4E">
        <w:t>trustor</w:t>
      </w:r>
      <w:proofErr w:type="spellEnd"/>
      <w:r w:rsidR="00466A4E">
        <w:t xml:space="preserve">, and the people of the State are the beneficiaries of the trust.  </w:t>
      </w:r>
      <w:r>
        <w:t xml:space="preserve">The grantee is a trustee, both as to the lands themselves and as to the proceeds derived </w:t>
      </w:r>
      <w:proofErr w:type="spellStart"/>
      <w:r>
        <w:t>therefrom</w:t>
      </w:r>
      <w:proofErr w:type="spellEnd"/>
      <w:r w:rsidR="008B5A6A">
        <w:t xml:space="preserve"> </w:t>
      </w:r>
      <w:r w:rsidR="008B5A6A">
        <w:rPr>
          <w:rFonts w:cs="Arial"/>
        </w:rPr>
        <w:t>[</w:t>
      </w:r>
      <w:r w:rsidRPr="007E251B">
        <w:rPr>
          <w:b/>
          <w:i/>
          <w:iCs/>
        </w:rPr>
        <w:t>City of Long Beach v. Morse</w:t>
      </w:r>
      <w:r>
        <w:t>, 31 Cal. 2d 254, 257 (1947)</w:t>
      </w:r>
      <w:r w:rsidR="008B5A6A">
        <w:rPr>
          <w:rFonts w:cs="Arial"/>
        </w:rPr>
        <w:t>]</w:t>
      </w:r>
      <w:r>
        <w:t xml:space="preserve">.  The trust is for the benefit of the entire State </w:t>
      </w:r>
      <w:r w:rsidR="008B5A6A">
        <w:rPr>
          <w:rFonts w:cs="Arial"/>
        </w:rPr>
        <w:t>[</w:t>
      </w:r>
      <w:r w:rsidRPr="007E251B">
        <w:rPr>
          <w:b/>
          <w:i/>
          <w:iCs/>
        </w:rPr>
        <w:t>Mallon v. City of Long Beach</w:t>
      </w:r>
      <w:r>
        <w:t>, 44 Cal. 2d 199, 209 (1955)</w:t>
      </w:r>
      <w:r w:rsidR="008B5A6A">
        <w:rPr>
          <w:rFonts w:cs="Arial"/>
        </w:rPr>
        <w:t>]</w:t>
      </w:r>
      <w:r>
        <w:t xml:space="preserve">.  </w:t>
      </w:r>
      <w:r w:rsidR="00466A4E">
        <w:t>T</w:t>
      </w:r>
      <w:r>
        <w:t xml:space="preserve">he use of trust lands and revenues derived </w:t>
      </w:r>
      <w:proofErr w:type="spellStart"/>
      <w:r>
        <w:t>therefrom</w:t>
      </w:r>
      <w:proofErr w:type="spellEnd"/>
      <w:r>
        <w:t xml:space="preserve"> for non-trust purposes is a violation of the trustee’s fiduciary duty to the trust and its beneficiaries.</w:t>
      </w:r>
    </w:p>
    <w:p w:rsidR="00432962" w:rsidRDefault="00432962" w:rsidP="00432962"/>
    <w:p w:rsidR="00432962" w:rsidRDefault="00432962" w:rsidP="00432962">
      <w:pPr>
        <w:ind w:left="720"/>
      </w:pPr>
      <w:r>
        <w:lastRenderedPageBreak/>
        <w:t xml:space="preserve">In addition to the Common Law judicial protections given public trust lands and assets laid down by both federal and state courts, the people of California have adopted several Constitutional restrictions on the state and local governments in their handling of these statewide public assets.  Specifically, </w:t>
      </w:r>
      <w:r w:rsidRPr="007E251B">
        <w:rPr>
          <w:b/>
        </w:rPr>
        <w:t xml:space="preserve">California Constitution Article X </w:t>
      </w:r>
      <w:r w:rsidRPr="007E251B">
        <w:rPr>
          <w:rFonts w:cs="Arial"/>
          <w:b/>
        </w:rPr>
        <w:t>§</w:t>
      </w:r>
      <w:r w:rsidRPr="007E251B">
        <w:rPr>
          <w:b/>
        </w:rPr>
        <w:t>3</w:t>
      </w:r>
      <w:r>
        <w:t xml:space="preserve"> (adopted in 1879 as Article XV, </w:t>
      </w:r>
      <w:r>
        <w:rPr>
          <w:rFonts w:cs="Arial"/>
        </w:rPr>
        <w:t>§</w:t>
      </w:r>
      <w:r>
        <w:t xml:space="preserve">3) prohibits the </w:t>
      </w:r>
      <w:r w:rsidR="00466A4E">
        <w:t xml:space="preserve">sale </w:t>
      </w:r>
      <w:r>
        <w:t xml:space="preserve">of tidelands within two miles of a city to private parties.  </w:t>
      </w:r>
      <w:r w:rsidRPr="007E251B">
        <w:rPr>
          <w:b/>
        </w:rPr>
        <w:t xml:space="preserve">Article XVI, </w:t>
      </w:r>
      <w:r w:rsidRPr="007E251B">
        <w:rPr>
          <w:rFonts w:cs="Arial"/>
          <w:b/>
        </w:rPr>
        <w:t>§</w:t>
      </w:r>
      <w:r w:rsidRPr="007E251B">
        <w:rPr>
          <w:b/>
        </w:rPr>
        <w:t xml:space="preserve"> 6</w:t>
      </w:r>
      <w:r>
        <w:t xml:space="preserve"> prohibits the state from making a gift of public monies or thing of value to any municipal corporation</w:t>
      </w:r>
      <w:r w:rsidR="008B5A6A">
        <w:t xml:space="preserve"> </w:t>
      </w:r>
      <w:r w:rsidR="008B5A6A">
        <w:rPr>
          <w:rFonts w:cs="Arial"/>
        </w:rPr>
        <w:t>[</w:t>
      </w:r>
      <w:r w:rsidRPr="009764AC">
        <w:rPr>
          <w:b/>
          <w:i/>
          <w:iCs/>
        </w:rPr>
        <w:t>Mallon</w:t>
      </w:r>
      <w:r>
        <w:rPr>
          <w:i/>
          <w:iCs/>
        </w:rPr>
        <w:t xml:space="preserve"> </w:t>
      </w:r>
      <w:r>
        <w:t>at 211</w:t>
      </w:r>
      <w:r w:rsidR="008B5A6A">
        <w:rPr>
          <w:rFonts w:cs="Arial"/>
        </w:rPr>
        <w:t>]</w:t>
      </w:r>
      <w:r>
        <w:t>.</w:t>
      </w:r>
    </w:p>
    <w:p w:rsidR="00432962" w:rsidRDefault="00432962" w:rsidP="00432962">
      <w:pPr>
        <w:ind w:firstLine="720"/>
      </w:pPr>
    </w:p>
    <w:p w:rsidR="00AA3FAC" w:rsidRDefault="006223D9" w:rsidP="00AA3FAC">
      <w:pPr>
        <w:ind w:left="720"/>
      </w:pPr>
      <w:r>
        <w:t>In addressing what constitutes an appropriate use to which Public Trust lands may be dedicated, California courts have made it clear that water dependent uses related to commerce</w:t>
      </w:r>
      <w:r w:rsidR="008B5A6A">
        <w:t>,</w:t>
      </w:r>
      <w:r>
        <w:t xml:space="preserve"> navigation, fisheries, and other water-related uses or activities, such as public access and use for </w:t>
      </w:r>
      <w:r w:rsidR="009764AC">
        <w:t xml:space="preserve">water-related </w:t>
      </w:r>
      <w:r>
        <w:t>recreation, and ecological preservation for scientific study and wildlife habitat (</w:t>
      </w:r>
      <w:r w:rsidRPr="009764AC">
        <w:rPr>
          <w:b/>
          <w:i/>
        </w:rPr>
        <w:t>Marks v. Whitney</w:t>
      </w:r>
      <w:r>
        <w:t xml:space="preserve"> (1971) 6 Cal.3</w:t>
      </w:r>
      <w:r>
        <w:rPr>
          <w:vertAlign w:val="superscript"/>
        </w:rPr>
        <w:t>rd</w:t>
      </w:r>
      <w:r>
        <w:t xml:space="preserve"> 151), as well as those uses that are necessary and incidental to accomplish or promote those</w:t>
      </w:r>
      <w:r w:rsidR="00764B9B">
        <w:t xml:space="preserve"> [Public Trust]</w:t>
      </w:r>
      <w:r>
        <w:t xml:space="preserve"> uses (</w:t>
      </w:r>
      <w:r w:rsidRPr="009764AC">
        <w:rPr>
          <w:b/>
          <w:i/>
        </w:rPr>
        <w:t>Haggerty v. City of Oakland</w:t>
      </w:r>
      <w:r>
        <w:rPr>
          <w:u w:val="single"/>
        </w:rPr>
        <w:t xml:space="preserve"> </w:t>
      </w:r>
      <w:r>
        <w:t>(1958) 161 C.A.2d 404), are consistent with the land use requirement of the trust.  Ancillary visitor serving facilities, such as restaurants and hotels, have also received judicial approval because they enhance and facilitate the public’s enjoyment of trust lands, by providing public accommodation (</w:t>
      </w:r>
      <w:r w:rsidRPr="009764AC">
        <w:rPr>
          <w:b/>
          <w:i/>
        </w:rPr>
        <w:t>Martin v. Smith</w:t>
      </w:r>
      <w:r>
        <w:t xml:space="preserve"> (1960) 184 Cal. App. 2d 571).  </w:t>
      </w:r>
      <w:r w:rsidR="009764AC">
        <w:t>W</w:t>
      </w:r>
      <w:r w:rsidR="00AA3FAC">
        <w:t xml:space="preserve">hen analyzing the consistency of expenditure of public trust funds for specific uses, the trustees of public trust lands must exercise caution so as not to violate their fiduciary duties to the trust or violate the </w:t>
      </w:r>
      <w:r w:rsidR="00AF3BD1">
        <w:t xml:space="preserve">State </w:t>
      </w:r>
      <w:r w:rsidR="00AA3FAC">
        <w:t xml:space="preserve">Constitution.  </w:t>
      </w:r>
    </w:p>
    <w:p w:rsidR="00AA3FAC" w:rsidRDefault="00AA3FAC" w:rsidP="006223D9">
      <w:pPr>
        <w:ind w:left="720"/>
      </w:pPr>
    </w:p>
    <w:p w:rsidR="005B2FB7" w:rsidRDefault="00BA2B6A" w:rsidP="005B2FB7">
      <w:pPr>
        <w:rPr>
          <w:b/>
        </w:rPr>
      </w:pPr>
      <w:proofErr w:type="gramStart"/>
      <w:r>
        <w:rPr>
          <w:b/>
        </w:rPr>
        <w:t>ANALYSIS OF THE TRUST LANDS USE</w:t>
      </w:r>
      <w:proofErr w:type="gramEnd"/>
      <w:r>
        <w:rPr>
          <w:b/>
        </w:rPr>
        <w:t xml:space="preserve"> REPORT</w:t>
      </w:r>
      <w:r w:rsidR="005B2FB7" w:rsidRPr="005B2FB7">
        <w:rPr>
          <w:b/>
        </w:rPr>
        <w:t>:</w:t>
      </w:r>
    </w:p>
    <w:p w:rsidR="00224EED" w:rsidRDefault="006E37AE" w:rsidP="005E4BD9">
      <w:pPr>
        <w:ind w:left="720"/>
      </w:pPr>
      <w:r>
        <w:t>T</w:t>
      </w:r>
      <w:r w:rsidR="00DF3293">
        <w:t xml:space="preserve">he </w:t>
      </w:r>
      <w:r w:rsidR="00B043D4">
        <w:t>Report</w:t>
      </w:r>
      <w:r w:rsidR="00BA2B6A">
        <w:t xml:space="preserve"> </w:t>
      </w:r>
      <w:r w:rsidR="00DF3293">
        <w:t xml:space="preserve">details the </w:t>
      </w:r>
      <w:r w:rsidR="00603B21">
        <w:t>C</w:t>
      </w:r>
      <w:r w:rsidR="00DF3293">
        <w:t xml:space="preserve">ity’s proposed uses for </w:t>
      </w:r>
      <w:r w:rsidR="00925149">
        <w:t xml:space="preserve">its </w:t>
      </w:r>
      <w:r w:rsidR="00AF67E4">
        <w:t>Public T</w:t>
      </w:r>
      <w:r w:rsidR="00925149">
        <w:t>rust lands</w:t>
      </w:r>
      <w:r w:rsidR="00DF3293">
        <w:t xml:space="preserve"> and adjacent uplands.  </w:t>
      </w:r>
      <w:r w:rsidR="00925149">
        <w:t>Historically, a</w:t>
      </w:r>
      <w:r w:rsidR="00BA2B6A">
        <w:t xml:space="preserve">ccording to the Report, </w:t>
      </w:r>
      <w:r w:rsidR="00603B21">
        <w:t>the City</w:t>
      </w:r>
      <w:r w:rsidR="00E46549">
        <w:t>’s</w:t>
      </w:r>
      <w:r w:rsidR="00AA5497">
        <w:t xml:space="preserve"> waterfront was utilized for docking, fishing</w:t>
      </w:r>
      <w:r w:rsidR="000068EF">
        <w:t xml:space="preserve">, </w:t>
      </w:r>
      <w:r w:rsidR="00AA5497">
        <w:t>canning</w:t>
      </w:r>
      <w:r w:rsidR="00603B21">
        <w:t>,</w:t>
      </w:r>
      <w:r w:rsidR="00AA5497">
        <w:t xml:space="preserve"> and shipping of coal.  </w:t>
      </w:r>
      <w:r w:rsidR="005E4BD9">
        <w:t xml:space="preserve">While the </w:t>
      </w:r>
      <w:r w:rsidR="0027136A">
        <w:t xml:space="preserve">majority of </w:t>
      </w:r>
      <w:r w:rsidR="00925149">
        <w:t xml:space="preserve">the </w:t>
      </w:r>
      <w:r w:rsidR="00C3723D">
        <w:t>Public T</w:t>
      </w:r>
      <w:r w:rsidR="00925149">
        <w:t xml:space="preserve">rust </w:t>
      </w:r>
      <w:r w:rsidR="0027136A">
        <w:t>lands legislatively granted to the</w:t>
      </w:r>
      <w:r w:rsidR="008503A3">
        <w:t xml:space="preserve"> </w:t>
      </w:r>
      <w:r w:rsidR="00C3723D">
        <w:t>C</w:t>
      </w:r>
      <w:r w:rsidR="0027136A">
        <w:t>ity are submerged lands</w:t>
      </w:r>
      <w:r w:rsidR="00C3723D">
        <w:t xml:space="preserve">, there are </w:t>
      </w:r>
      <w:r w:rsidR="008B5A6A">
        <w:t xml:space="preserve">also </w:t>
      </w:r>
      <w:r w:rsidR="005E4BD9">
        <w:t>portion</w:t>
      </w:r>
      <w:r w:rsidR="00C3723D">
        <w:t>s</w:t>
      </w:r>
      <w:r w:rsidR="005E4BD9">
        <w:t xml:space="preserve"> that are filled, waterfront property</w:t>
      </w:r>
      <w:r w:rsidR="0027136A">
        <w:t xml:space="preserve">.  </w:t>
      </w:r>
    </w:p>
    <w:p w:rsidR="00224EED" w:rsidRDefault="00224EED" w:rsidP="005E4BD9">
      <w:pPr>
        <w:ind w:left="720"/>
      </w:pPr>
    </w:p>
    <w:p w:rsidR="00120F32" w:rsidRDefault="00925149" w:rsidP="005E4BD9">
      <w:pPr>
        <w:ind w:left="720"/>
      </w:pPr>
      <w:r>
        <w:t>According to the Report, t</w:t>
      </w:r>
      <w:r w:rsidR="0027136A">
        <w:t xml:space="preserve">he </w:t>
      </w:r>
      <w:r w:rsidR="00603B21">
        <w:t>C</w:t>
      </w:r>
      <w:r w:rsidR="00A45EAE">
        <w:t>ity</w:t>
      </w:r>
      <w:r w:rsidR="0027136A">
        <w:t xml:space="preserve"> is committed to utilizing </w:t>
      </w:r>
      <w:r>
        <w:t xml:space="preserve">its </w:t>
      </w:r>
      <w:r w:rsidR="00AF67E4">
        <w:t>Public T</w:t>
      </w:r>
      <w:r>
        <w:t>rust</w:t>
      </w:r>
      <w:r w:rsidR="0027136A">
        <w:t xml:space="preserve"> lands “in a manner consistent with the Public Trust and the legislative granting statute.”</w:t>
      </w:r>
      <w:r w:rsidR="005E4BD9">
        <w:t xml:space="preserve">  The uses projected for the City’s Public Trust lands are categorized as: 1) Land Preservation and Open Space; 2) Recreational/Visitor Oriented; 3) Management of Existing Residential Development; and 4) Commerce/Economic Development.  </w:t>
      </w:r>
    </w:p>
    <w:p w:rsidR="00120F32" w:rsidRDefault="00120F32" w:rsidP="005E4BD9">
      <w:pPr>
        <w:ind w:left="720"/>
      </w:pPr>
    </w:p>
    <w:p w:rsidR="005E4BD9" w:rsidRDefault="005E4BD9" w:rsidP="005E4BD9">
      <w:pPr>
        <w:ind w:left="720"/>
      </w:pPr>
      <w:r>
        <w:t>It is important to note that the existing residential development</w:t>
      </w:r>
      <w:r w:rsidR="00B043D4">
        <w:t>s</w:t>
      </w:r>
      <w:r>
        <w:t xml:space="preserve"> mention</w:t>
      </w:r>
      <w:r w:rsidR="00764B9B">
        <w:t>ed</w:t>
      </w:r>
      <w:r>
        <w:t xml:space="preserve"> above </w:t>
      </w:r>
      <w:r w:rsidR="00B043D4">
        <w:t>are</w:t>
      </w:r>
      <w:r w:rsidR="008B5A6A">
        <w:t xml:space="preserve"> adjacent to the water, </w:t>
      </w:r>
      <w:r w:rsidR="00B043D4">
        <w:t xml:space="preserve">but </w:t>
      </w:r>
      <w:r>
        <w:t>are locate</w:t>
      </w:r>
      <w:r w:rsidR="00DD386B">
        <w:t xml:space="preserve">d on non-public trust lands, </w:t>
      </w:r>
      <w:r>
        <w:t xml:space="preserve">are not included with the City’s trust grant and, according to the City, were included </w:t>
      </w:r>
      <w:r w:rsidR="00C3723D">
        <w:t xml:space="preserve">in </w:t>
      </w:r>
      <w:r>
        <w:t xml:space="preserve">the Report solely to present a complete overview of the waterfront.  In addition, </w:t>
      </w:r>
      <w:r>
        <w:lastRenderedPageBreak/>
        <w:t>there are several private recreational docks constructed without appropriate permit/authority, but according to the Report, the City will br</w:t>
      </w:r>
      <w:r w:rsidR="00120F32">
        <w:t xml:space="preserve">ing these docks into compliance </w:t>
      </w:r>
      <w:r>
        <w:t xml:space="preserve">or </w:t>
      </w:r>
      <w:r w:rsidR="002B4672">
        <w:t xml:space="preserve">the City will require these private recreational docks to </w:t>
      </w:r>
      <w:r>
        <w:t xml:space="preserve">be removed.  </w:t>
      </w:r>
    </w:p>
    <w:p w:rsidR="0027136A" w:rsidRDefault="0027136A" w:rsidP="0027136A">
      <w:pPr>
        <w:ind w:left="720"/>
      </w:pPr>
    </w:p>
    <w:p w:rsidR="00C82B21" w:rsidRPr="008B5A6A" w:rsidRDefault="00C82B21" w:rsidP="0027136A">
      <w:pPr>
        <w:ind w:left="720"/>
        <w:rPr>
          <w:b/>
          <w:i/>
        </w:rPr>
      </w:pPr>
      <w:r w:rsidRPr="008B5A6A">
        <w:rPr>
          <w:b/>
          <w:i/>
        </w:rPr>
        <w:t>Land Preservation and Open Space Uses</w:t>
      </w:r>
    </w:p>
    <w:p w:rsidR="00C82B21" w:rsidRDefault="00C82B21" w:rsidP="0027136A">
      <w:pPr>
        <w:ind w:left="720"/>
      </w:pPr>
      <w:r>
        <w:t xml:space="preserve">According to the Report, the City’s </w:t>
      </w:r>
      <w:r w:rsidR="00647343">
        <w:t>public</w:t>
      </w:r>
      <w:r w:rsidR="00BA1EEF">
        <w:t xml:space="preserve"> </w:t>
      </w:r>
      <w:r>
        <w:t>lands</w:t>
      </w:r>
      <w:r w:rsidR="00484B33">
        <w:t>, including Public Trust lands and adjacent uplands,</w:t>
      </w:r>
      <w:r>
        <w:t xml:space="preserve"> include a significant amount of open space</w:t>
      </w:r>
      <w:r w:rsidR="00AF67E4">
        <w:t xml:space="preserve"> and</w:t>
      </w:r>
      <w:r>
        <w:t xml:space="preserve"> conserved natural resource and wildlife refuge areas.  For example, Riverview Park, which </w:t>
      </w:r>
      <w:r w:rsidR="00BA1EEF">
        <w:t xml:space="preserve">includes both Public Trust lands and City-owned uplands, </w:t>
      </w:r>
      <w:r>
        <w:t xml:space="preserve">consists of </w:t>
      </w:r>
      <w:r w:rsidR="008B5A6A">
        <w:t>four</w:t>
      </w:r>
      <w:r>
        <w:t xml:space="preserve"> acres of open space, offers public access to the waterfront, including shoreline trails, a floating pier, fishing facilities, picnic areas a</w:t>
      </w:r>
      <w:r w:rsidR="00AF67E4">
        <w:t>nd a children’s playground area</w:t>
      </w:r>
      <w:r>
        <w:t xml:space="preserve">.  In addition, the City’s Public Trust lands also include 172 acres of tidal wetlands and a 30-acre beaver pond.  </w:t>
      </w:r>
    </w:p>
    <w:p w:rsidR="00C82B21" w:rsidRDefault="00C82B21" w:rsidP="0027136A">
      <w:pPr>
        <w:ind w:left="720"/>
      </w:pPr>
    </w:p>
    <w:p w:rsidR="00C82B21" w:rsidRDefault="00C82B21" w:rsidP="0027136A">
      <w:pPr>
        <w:ind w:left="720"/>
      </w:pPr>
      <w:r>
        <w:t>The Report describes the City’s desire to include its Public Trust lands in its efforts to open the shoreline for more recreational uses and generally give the public more access to the waterfront</w:t>
      </w:r>
      <w:r w:rsidR="00224EED">
        <w:t xml:space="preserve"> by potentially providing fishing piers and additional small boat access</w:t>
      </w:r>
      <w:r>
        <w:t xml:space="preserve">.  </w:t>
      </w:r>
      <w:r w:rsidR="00AF67E4">
        <w:t>S</w:t>
      </w:r>
      <w:r w:rsidR="00DD386B">
        <w:t>uch efforts to manage Public T</w:t>
      </w:r>
      <w:r>
        <w:t>rust lands in these ways</w:t>
      </w:r>
      <w:r w:rsidR="00AF67E4">
        <w:t xml:space="preserve"> are generally consistent with the Public Trust Doctrine</w:t>
      </w:r>
      <w:r>
        <w:t xml:space="preserve">.  However, not all </w:t>
      </w:r>
      <w:r w:rsidR="00E23382">
        <w:t xml:space="preserve">open space/park uses </w:t>
      </w:r>
      <w:r>
        <w:t xml:space="preserve">are consistent with the Public Trust Doctrine.  </w:t>
      </w:r>
      <w:r w:rsidR="00BD3186">
        <w:t xml:space="preserve">Recreational uses, including open space and public parks, which have no relation to the water and do not provide a statewide benefit, but </w:t>
      </w:r>
      <w:r w:rsidR="00BA1EEF">
        <w:t>primarily serve the local community</w:t>
      </w:r>
      <w:r w:rsidR="00BD3186">
        <w:t>, are not uses consistent with the Public Trus</w:t>
      </w:r>
      <w:r w:rsidR="00AF67E4">
        <w:t>t Doctrine.</w:t>
      </w:r>
      <w:r w:rsidR="00647343">
        <w:t xml:space="preserve"> </w:t>
      </w:r>
    </w:p>
    <w:p w:rsidR="00BD3186" w:rsidRDefault="00BD3186" w:rsidP="0027136A">
      <w:pPr>
        <w:ind w:left="720"/>
      </w:pPr>
    </w:p>
    <w:p w:rsidR="00224EED" w:rsidRPr="008B5A6A" w:rsidRDefault="00224EED" w:rsidP="0027136A">
      <w:pPr>
        <w:ind w:left="720"/>
        <w:rPr>
          <w:b/>
          <w:i/>
        </w:rPr>
      </w:pPr>
      <w:r w:rsidRPr="008B5A6A">
        <w:rPr>
          <w:b/>
          <w:i/>
        </w:rPr>
        <w:t>Recreational/Visitor-Oriented Uses</w:t>
      </w:r>
    </w:p>
    <w:p w:rsidR="0027136A" w:rsidRDefault="00224EED" w:rsidP="0027136A">
      <w:pPr>
        <w:ind w:left="720"/>
      </w:pPr>
      <w:r>
        <w:t>According to the Report, t</w:t>
      </w:r>
      <w:r w:rsidR="0027136A">
        <w:t xml:space="preserve">he Pittsburg Marina is one of the </w:t>
      </w:r>
      <w:r>
        <w:t>C</w:t>
      </w:r>
      <w:r w:rsidR="0027136A">
        <w:t>ity’s treasured recreational/v</w:t>
      </w:r>
      <w:r>
        <w:t>isitor serving</w:t>
      </w:r>
      <w:r w:rsidR="0027136A">
        <w:t xml:space="preserve"> uses of waterfront property and consists of approximately 588 berthing slips, a 24-hour public launch ramp (free of charge for public use), on-site</w:t>
      </w:r>
      <w:r w:rsidR="00603B21">
        <w:t xml:space="preserve"> boat</w:t>
      </w:r>
      <w:r w:rsidR="002B4672">
        <w:t xml:space="preserve"> haul out service </w:t>
      </w:r>
      <w:r w:rsidR="000938E7">
        <w:t>(</w:t>
      </w:r>
      <w:r w:rsidR="0027136A">
        <w:t>available as needed</w:t>
      </w:r>
      <w:r w:rsidR="000938E7">
        <w:t>)</w:t>
      </w:r>
      <w:r w:rsidR="002B4672">
        <w:t xml:space="preserve">, public fuel docks </w:t>
      </w:r>
      <w:r w:rsidR="000938E7">
        <w:t>(</w:t>
      </w:r>
      <w:r w:rsidR="0027136A">
        <w:t>open seven days a week</w:t>
      </w:r>
      <w:r w:rsidR="000938E7">
        <w:t>)</w:t>
      </w:r>
      <w:r w:rsidR="0027136A">
        <w:t>, seasonal fishing charters</w:t>
      </w:r>
      <w:r w:rsidR="000938E7">
        <w:t>,</w:t>
      </w:r>
      <w:r w:rsidR="0027136A">
        <w:t xml:space="preserve"> </w:t>
      </w:r>
      <w:r w:rsidR="002B4672">
        <w:t>D</w:t>
      </w:r>
      <w:r w:rsidR="0027136A">
        <w:t>elta cruises, live bait shop/market, and extensive waterfront access</w:t>
      </w:r>
      <w:r w:rsidR="000938E7">
        <w:t xml:space="preserve"> for passive recreational use.  </w:t>
      </w:r>
      <w:r>
        <w:t>According to the Report, t</w:t>
      </w:r>
      <w:r w:rsidR="0027136A">
        <w:t xml:space="preserve">he </w:t>
      </w:r>
      <w:r w:rsidR="000938E7">
        <w:t>C</w:t>
      </w:r>
      <w:r w:rsidR="0027136A">
        <w:t>ity’s redevelopment agency recently invested approximately $7 million to r</w:t>
      </w:r>
      <w:r w:rsidR="000938E7">
        <w:t>enovate and improve the Marina.</w:t>
      </w:r>
      <w:r w:rsidR="0027136A">
        <w:t xml:space="preserve"> </w:t>
      </w:r>
    </w:p>
    <w:p w:rsidR="00BD3186" w:rsidRDefault="00BD3186" w:rsidP="0027136A">
      <w:pPr>
        <w:ind w:left="720"/>
      </w:pPr>
    </w:p>
    <w:p w:rsidR="00B45E94" w:rsidRPr="0046630E" w:rsidRDefault="00BD3186" w:rsidP="00B45E94">
      <w:pPr>
        <w:ind w:left="720"/>
      </w:pPr>
      <w:proofErr w:type="gramStart"/>
      <w:r>
        <w:t>Marinas</w:t>
      </w:r>
      <w:r w:rsidR="008B5A6A">
        <w:t>,</w:t>
      </w:r>
      <w:proofErr w:type="gramEnd"/>
      <w:r>
        <w:t xml:space="preserve"> associated marine services and other visitor-serving amenities</w:t>
      </w:r>
      <w:r w:rsidR="00B45E94">
        <w:t xml:space="preserve"> </w:t>
      </w:r>
      <w:r>
        <w:t xml:space="preserve">are generally consistent with the Public Trust Doctrine and the City’s granting statutes.  However, </w:t>
      </w:r>
      <w:r w:rsidR="00B45E94">
        <w:t>general</w:t>
      </w:r>
      <w:r w:rsidR="00B45E94" w:rsidRPr="0046630E">
        <w:t xml:space="preserve"> retail uses</w:t>
      </w:r>
      <w:r w:rsidR="00B45E94">
        <w:t xml:space="preserve">, </w:t>
      </w:r>
      <w:r w:rsidR="00A12C3A">
        <w:t>which have no relationship to the water</w:t>
      </w:r>
      <w:r w:rsidR="00B45E94">
        <w:t xml:space="preserve">, serve the local citizenry and are not </w:t>
      </w:r>
      <w:proofErr w:type="gramStart"/>
      <w:r w:rsidR="00B45E94">
        <w:t>visitor-serving</w:t>
      </w:r>
      <w:proofErr w:type="gramEnd"/>
      <w:r w:rsidR="00B45E94" w:rsidRPr="0046630E">
        <w:t xml:space="preserve"> </w:t>
      </w:r>
      <w:r w:rsidR="00B45E94">
        <w:t>are uses inconsistent with the Public Trust D</w:t>
      </w:r>
      <w:r w:rsidR="00B45E94" w:rsidRPr="0046630E">
        <w:t xml:space="preserve">octrine.  </w:t>
      </w:r>
      <w:r w:rsidR="00B45E94">
        <w:t>Alternatively</w:t>
      </w:r>
      <w:r w:rsidR="00B45E94" w:rsidRPr="0046630E">
        <w:t xml:space="preserve">, commercial retail uses which are visitor-serving, catering to the statewide general public, and are water-related, may be considered incidental and necessary in promoting the public’s use of public trust </w:t>
      </w:r>
      <w:r w:rsidR="00B45E94" w:rsidRPr="0046630E">
        <w:lastRenderedPageBreak/>
        <w:t>lands and hence</w:t>
      </w:r>
      <w:r w:rsidR="00B45E94">
        <w:t xml:space="preserve"> would be considered</w:t>
      </w:r>
      <w:r w:rsidR="00B45E94" w:rsidRPr="0046630E">
        <w:t xml:space="preserve"> consistent with the </w:t>
      </w:r>
      <w:r w:rsidR="00647343">
        <w:t>P</w:t>
      </w:r>
      <w:r w:rsidR="00647343" w:rsidRPr="0046630E">
        <w:t xml:space="preserve">ublic </w:t>
      </w:r>
      <w:r w:rsidR="00647343">
        <w:t>T</w:t>
      </w:r>
      <w:r w:rsidR="00B45E94" w:rsidRPr="0046630E">
        <w:t xml:space="preserve">rust </w:t>
      </w:r>
      <w:r w:rsidR="00647343">
        <w:t>D</w:t>
      </w:r>
      <w:r w:rsidR="00B45E94" w:rsidRPr="0046630E">
        <w:t xml:space="preserve">octrine.  </w:t>
      </w:r>
      <w:r w:rsidR="00B45E94">
        <w:t>Also, g</w:t>
      </w:r>
      <w:r w:rsidR="00B45E94" w:rsidRPr="0046630E">
        <w:t xml:space="preserve">eneral civic/cultural uses </w:t>
      </w:r>
      <w:r w:rsidR="00B45E94">
        <w:t xml:space="preserve">that are not water-related and are not visitor-serving in nature </w:t>
      </w:r>
      <w:r w:rsidR="00B45E94" w:rsidRPr="0046630E">
        <w:t xml:space="preserve">are not appropriate </w:t>
      </w:r>
      <w:r w:rsidR="00B043D4">
        <w:t>P</w:t>
      </w:r>
      <w:r w:rsidR="00B043D4" w:rsidRPr="0046630E">
        <w:t xml:space="preserve">ublic </w:t>
      </w:r>
      <w:r w:rsidR="00B043D4">
        <w:t>T</w:t>
      </w:r>
      <w:r w:rsidR="00B45E94" w:rsidRPr="0046630E">
        <w:t xml:space="preserve">rust uses as such uses </w:t>
      </w:r>
      <w:r w:rsidR="00B45E94">
        <w:t>cater to the local community and do not serve the statewide general public</w:t>
      </w:r>
      <w:r w:rsidR="00B45E94" w:rsidRPr="0046630E">
        <w:t xml:space="preserve">.  </w:t>
      </w:r>
    </w:p>
    <w:p w:rsidR="00BD3186" w:rsidRDefault="00BD3186" w:rsidP="0027136A">
      <w:pPr>
        <w:ind w:left="720"/>
      </w:pPr>
    </w:p>
    <w:p w:rsidR="00B45E94" w:rsidRPr="008B5A6A" w:rsidRDefault="00B45E94" w:rsidP="0027136A">
      <w:pPr>
        <w:ind w:left="720"/>
        <w:rPr>
          <w:b/>
          <w:i/>
        </w:rPr>
      </w:pPr>
      <w:r w:rsidRPr="008B5A6A">
        <w:rPr>
          <w:b/>
          <w:i/>
        </w:rPr>
        <w:t>Commercial/Economic Development Uses</w:t>
      </w:r>
    </w:p>
    <w:p w:rsidR="00937797" w:rsidRDefault="00A12C3A" w:rsidP="0027136A">
      <w:pPr>
        <w:ind w:left="720"/>
      </w:pPr>
      <w:r>
        <w:t>According to the Report, t</w:t>
      </w:r>
      <w:r w:rsidR="0027136A">
        <w:t>he majority of the industrial waterfront area</w:t>
      </w:r>
      <w:r w:rsidR="00DF3293">
        <w:t xml:space="preserve"> is underutilized at this time</w:t>
      </w:r>
      <w:r>
        <w:t xml:space="preserve"> and it is the City’s desire to attract and expand industrial uses which require access to the City’s Public Trust lands</w:t>
      </w:r>
      <w:r w:rsidR="00DF3293">
        <w:t xml:space="preserve">.  There may also be potential contamination and environmental issues that need to be addressed.  </w:t>
      </w:r>
      <w:r>
        <w:t>According to the Report, i</w:t>
      </w:r>
      <w:r w:rsidR="00DF3293">
        <w:t xml:space="preserve">t is </w:t>
      </w:r>
      <w:r w:rsidR="000938E7">
        <w:t>the City’s</w:t>
      </w:r>
      <w:r w:rsidR="00DF3293">
        <w:t xml:space="preserve"> intention to maintain the industrial use and character of this </w:t>
      </w:r>
      <w:r w:rsidR="0027136A">
        <w:t>historical</w:t>
      </w:r>
      <w:r w:rsidR="00DF3293">
        <w:t xml:space="preserve"> stretch of the waterfront while encouraging the development of “clean” industries and supporting the modernization of all industrial uses in the area to reduce both air and water pollutant levels</w:t>
      </w:r>
      <w:r w:rsidR="000938E7">
        <w:t>,</w:t>
      </w:r>
      <w:r w:rsidR="00DF3293">
        <w:t xml:space="preserve"> as well as the reclamation and reuse of contaminated industrial sites. </w:t>
      </w:r>
      <w:r w:rsidR="0027136A">
        <w:t xml:space="preserve"> </w:t>
      </w:r>
      <w:r w:rsidR="000938E7">
        <w:t>The City</w:t>
      </w:r>
      <w:r w:rsidR="008D699C">
        <w:t xml:space="preserve"> has begun the important process </w:t>
      </w:r>
      <w:r w:rsidR="000938E7">
        <w:t>of</w:t>
      </w:r>
      <w:r w:rsidR="008D699C">
        <w:t xml:space="preserve"> remov</w:t>
      </w:r>
      <w:r w:rsidR="000938E7">
        <w:t>ing</w:t>
      </w:r>
      <w:r w:rsidR="008D699C">
        <w:t xml:space="preserve"> blighted </w:t>
      </w:r>
      <w:r w:rsidR="0027136A">
        <w:t>c</w:t>
      </w:r>
      <w:r w:rsidR="000938E7">
        <w:t>onditions along the waterfront and</w:t>
      </w:r>
      <w:r w:rsidR="008D699C">
        <w:t xml:space="preserve"> continues to explore potential industrial/commercial </w:t>
      </w:r>
      <w:r>
        <w:t>operations</w:t>
      </w:r>
      <w:r w:rsidR="008D699C">
        <w:t xml:space="preserve">. </w:t>
      </w:r>
    </w:p>
    <w:p w:rsidR="00A12C3A" w:rsidRDefault="00A12C3A" w:rsidP="0027136A">
      <w:pPr>
        <w:ind w:left="720"/>
      </w:pPr>
    </w:p>
    <w:p w:rsidR="00A12C3A" w:rsidRDefault="00484B33" w:rsidP="0027136A">
      <w:pPr>
        <w:ind w:left="720"/>
      </w:pPr>
      <w:r>
        <w:t>As stated throughout this staff report, Public Trust lands must be used for uses that are water-dependent or water-related</w:t>
      </w:r>
      <w:r w:rsidR="00BA1EEF">
        <w:t xml:space="preserve"> and serve the statewide public</w:t>
      </w:r>
      <w:r>
        <w:t>.  A strictly industrial or commercial use without any connection to the water would be an inconsistent Public Trust use.</w:t>
      </w:r>
      <w:r w:rsidR="00A12C3A">
        <w:t xml:space="preserve">  </w:t>
      </w:r>
    </w:p>
    <w:p w:rsidR="0027136A" w:rsidRDefault="0027136A"/>
    <w:p w:rsidR="00484B33" w:rsidRDefault="00484B33">
      <w:pPr>
        <w:rPr>
          <w:b/>
        </w:rPr>
      </w:pPr>
      <w:r w:rsidRPr="00484B33">
        <w:rPr>
          <w:b/>
        </w:rPr>
        <w:t>OTHER PERTINENT INFORMATION:</w:t>
      </w:r>
    </w:p>
    <w:p w:rsidR="00484B33" w:rsidRDefault="00484B33" w:rsidP="00BA1EEF">
      <w:pPr>
        <w:numPr>
          <w:ilvl w:val="0"/>
          <w:numId w:val="8"/>
        </w:numPr>
      </w:pPr>
      <w:r>
        <w:t>Pursuant to the Commission’s delegation of authority and the State CEQA Guidelines [Title 14, California Code of Regulations, section 15060(c)(3)], the staff has determined that these activities are not subject to the provisions of the CEQA because they are not a “project” as defined by the CEQA and the State CEQA Guidelines.</w:t>
      </w:r>
    </w:p>
    <w:p w:rsidR="00484B33" w:rsidRDefault="00484B33"/>
    <w:p w:rsidR="00484B33" w:rsidRDefault="00484B33" w:rsidP="00BA1EEF">
      <w:pPr>
        <w:ind w:left="720"/>
      </w:pPr>
      <w:r>
        <w:t>Authority:  Public Resources Code section 21065 and Title 14, California Code of Regulations, sections 15060 (c</w:t>
      </w:r>
      <w:proofErr w:type="gramStart"/>
      <w:r>
        <w:t>)(</w:t>
      </w:r>
      <w:proofErr w:type="gramEnd"/>
      <w:r>
        <w:t>3) and 15378.</w:t>
      </w:r>
    </w:p>
    <w:p w:rsidR="00BA1EEF" w:rsidRDefault="00BA1EEF" w:rsidP="00BA1EEF"/>
    <w:p w:rsidR="00BA1EEF" w:rsidRPr="00484B33" w:rsidRDefault="00BA1EEF" w:rsidP="00BA1EEF">
      <w:pPr>
        <w:numPr>
          <w:ilvl w:val="0"/>
          <w:numId w:val="8"/>
        </w:numPr>
      </w:pPr>
      <w:r>
        <w:t>These activities involve lands identified as possessing significant environmental values pursuant to Public Resources Code sections 6370, et seq., but such activities will not affect those significant lands.</w:t>
      </w:r>
    </w:p>
    <w:p w:rsidR="00484B33" w:rsidRDefault="00484B33">
      <w:pPr>
        <w:rPr>
          <w:b/>
        </w:rPr>
      </w:pPr>
    </w:p>
    <w:p w:rsidR="00BA1EEF" w:rsidRDefault="00A12C3A" w:rsidP="00BA1EEF">
      <w:pPr>
        <w:rPr>
          <w:b/>
        </w:rPr>
      </w:pPr>
      <w:r w:rsidRPr="00A12C3A">
        <w:rPr>
          <w:b/>
        </w:rPr>
        <w:t>CONCLUSION/STAFF RECOMMENDATION:</w:t>
      </w:r>
    </w:p>
    <w:p w:rsidR="00DA7B2F" w:rsidRDefault="00120F32" w:rsidP="00BA1EEF">
      <w:r>
        <w:t xml:space="preserve">In conclusion, </w:t>
      </w:r>
      <w:r w:rsidR="00DA7B2F">
        <w:t>staff recommends that the Commission approve the City</w:t>
      </w:r>
      <w:r w:rsidR="00BA1EEF">
        <w:t>’s</w:t>
      </w:r>
      <w:r w:rsidR="00DA7B2F">
        <w:t xml:space="preserve"> Trust Land Use Report.  According to the Report, </w:t>
      </w:r>
      <w:r w:rsidR="008B5A6A">
        <w:t xml:space="preserve">which was </w:t>
      </w:r>
      <w:r w:rsidR="00DA7B2F">
        <w:t>adopted unanimously by the City Council in January 2009, th</w:t>
      </w:r>
      <w:r>
        <w:t xml:space="preserve">e City is committed to using its </w:t>
      </w:r>
      <w:r w:rsidR="00DA7B2F">
        <w:t xml:space="preserve">Public Trust lands in a manner consistent with the Public Trust </w:t>
      </w:r>
      <w:r>
        <w:t xml:space="preserve">Doctrine </w:t>
      </w:r>
      <w:r w:rsidR="00DA7B2F">
        <w:t xml:space="preserve">and the City’s granting statutes.  In </w:t>
      </w:r>
      <w:r w:rsidR="00DA7B2F">
        <w:lastRenderedPageBreak/>
        <w:t xml:space="preserve">addition, as stated previously, as specific projects are proposed, Commission staff will continue to exercise its oversight </w:t>
      </w:r>
      <w:r w:rsidR="008B5A6A">
        <w:t xml:space="preserve">responsibility </w:t>
      </w:r>
      <w:r w:rsidR="00DA7B2F">
        <w:t>by working with the City in reviewing those specific projects for consistency with the Public Trust Doctrine and the City’s granting statutes.</w:t>
      </w:r>
    </w:p>
    <w:p w:rsidR="00C741A4" w:rsidRDefault="00C741A4" w:rsidP="0030351D">
      <w:pPr>
        <w:ind w:left="720"/>
      </w:pPr>
    </w:p>
    <w:p w:rsidR="001C702D" w:rsidRDefault="001C702D" w:rsidP="0070622D">
      <w:pPr>
        <w:rPr>
          <w:b/>
        </w:rPr>
      </w:pPr>
      <w:r>
        <w:rPr>
          <w:b/>
        </w:rPr>
        <w:t>EXHIBIT:</w:t>
      </w:r>
    </w:p>
    <w:p w:rsidR="001C702D" w:rsidRDefault="001C702D" w:rsidP="001C702D">
      <w:pPr>
        <w:numPr>
          <w:ilvl w:val="0"/>
          <w:numId w:val="6"/>
        </w:numPr>
        <w:ind w:left="1440" w:hanging="630"/>
      </w:pPr>
      <w:r w:rsidRPr="00F023E2">
        <w:t xml:space="preserve">City of </w:t>
      </w:r>
      <w:r w:rsidR="00F023E2" w:rsidRPr="00F023E2">
        <w:t>Pittsburg</w:t>
      </w:r>
      <w:r w:rsidRPr="00F023E2">
        <w:t xml:space="preserve"> Trust Land Use Report</w:t>
      </w:r>
    </w:p>
    <w:p w:rsidR="00BA1EEF" w:rsidRPr="00F023E2" w:rsidRDefault="00BA1EEF" w:rsidP="00BA1EEF">
      <w:pPr>
        <w:ind w:left="1440"/>
      </w:pPr>
    </w:p>
    <w:p w:rsidR="00C308D0" w:rsidRDefault="00C308D0">
      <w:r>
        <w:rPr>
          <w:b/>
        </w:rPr>
        <w:t>RECOMMENDED ACTION</w:t>
      </w:r>
      <w:r>
        <w:t>:</w:t>
      </w:r>
    </w:p>
    <w:p w:rsidR="00C308D0" w:rsidRDefault="00C308D0">
      <w:r>
        <w:t>IT IS RECOMMENDED THAT THE COMMISSION:</w:t>
      </w:r>
    </w:p>
    <w:p w:rsidR="00C308D0" w:rsidRDefault="00C308D0"/>
    <w:p w:rsidR="00484B33" w:rsidRDefault="006223D9" w:rsidP="006223D9">
      <w:pPr>
        <w:pStyle w:val="BodyTextIndent"/>
        <w:numPr>
          <w:ilvl w:val="0"/>
          <w:numId w:val="3"/>
        </w:numPr>
      </w:pPr>
      <w:r>
        <w:t xml:space="preserve">FIND THAT THE ACTIVITIES </w:t>
      </w:r>
      <w:r w:rsidR="00484B33">
        <w:t xml:space="preserve">ARE NOT SUBJECT TO THE REQUIREMENTS OF THE </w:t>
      </w:r>
      <w:r w:rsidR="001166FB">
        <w:t>CEQ</w:t>
      </w:r>
      <w:r w:rsidR="00484B33">
        <w:t>A PURSUANT TO TITLE 14, CALIFORNIA CODE OF REGULATIONS, SECTION 15060(c)(3) BECAUSE THE ACTIVITIES ARE NOT A PROJECT AS DEFINED BY THE PUBLIC RESOURCES CODE SECTION 21065 AND TITLE 14, CALIFORNIA CODE OF REGULATIONS, SECTION 15378.</w:t>
      </w:r>
    </w:p>
    <w:p w:rsidR="00BA1EEF" w:rsidRDefault="00BA1EEF" w:rsidP="004A716A">
      <w:pPr>
        <w:numPr>
          <w:ilvl w:val="0"/>
          <w:numId w:val="3"/>
        </w:numPr>
      </w:pPr>
      <w:r>
        <w:t>FIND THAT THESE ACTIVITIES ARE CONSISTENT WITH THE USE CLASSIFICATION DESIGNATED BY THE COMMISSION FOR THE LAND PURSUANT TO PUBLIC RESOURCES CODE SECTIONS 6370, ET SEQ.</w:t>
      </w:r>
    </w:p>
    <w:p w:rsidR="00BA1EEF" w:rsidRDefault="00BA1EEF" w:rsidP="00BA1EEF">
      <w:pPr>
        <w:ind w:left="360"/>
      </w:pPr>
    </w:p>
    <w:p w:rsidR="00C308D0" w:rsidRDefault="004A716A" w:rsidP="004A716A">
      <w:pPr>
        <w:numPr>
          <w:ilvl w:val="0"/>
          <w:numId w:val="3"/>
        </w:numPr>
      </w:pPr>
      <w:r>
        <w:t>APPROVE THE CITY OF PIT</w:t>
      </w:r>
      <w:r w:rsidR="004105F4">
        <w:t>TSBURG’S TRUST L</w:t>
      </w:r>
      <w:r w:rsidR="008B5A6A">
        <w:t>AND</w:t>
      </w:r>
      <w:r w:rsidR="004105F4">
        <w:t xml:space="preserve"> USE REPORT</w:t>
      </w:r>
      <w:r w:rsidR="00C741A4">
        <w:t>,</w:t>
      </w:r>
      <w:r w:rsidR="004105F4">
        <w:t xml:space="preserve"> </w:t>
      </w:r>
      <w:r w:rsidR="006E0FB7">
        <w:t>IDENTIFIED</w:t>
      </w:r>
      <w:r w:rsidR="00C741A4">
        <w:t xml:space="preserve"> AS</w:t>
      </w:r>
      <w:r w:rsidR="006E0FB7">
        <w:t xml:space="preserve"> </w:t>
      </w:r>
      <w:r w:rsidR="00D27C5A">
        <w:t xml:space="preserve">EXHIBIT A, AS ATTACHED AND MADE A PART </w:t>
      </w:r>
      <w:r w:rsidR="00C741A4">
        <w:t>HERE</w:t>
      </w:r>
      <w:r w:rsidR="006E0FB7">
        <w:t>OF.</w:t>
      </w:r>
    </w:p>
    <w:p w:rsidR="004A716A" w:rsidRDefault="004A716A" w:rsidP="004A716A">
      <w:pPr>
        <w:ind w:left="360"/>
      </w:pPr>
    </w:p>
    <w:sectPr w:rsidR="004A716A" w:rsidSect="000068EF">
      <w:headerReference w:type="default" r:id="rId9"/>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957" w:rsidRDefault="00190957">
      <w:r>
        <w:separator/>
      </w:r>
    </w:p>
  </w:endnote>
  <w:endnote w:type="continuationSeparator" w:id="1">
    <w:p w:rsidR="00190957" w:rsidRDefault="00190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57" w:rsidRDefault="00190957">
    <w:pPr>
      <w:tabs>
        <w:tab w:val="center" w:pos="4680"/>
        <w:tab w:val="right" w:pos="9360"/>
      </w:tabs>
    </w:pPr>
    <w:r>
      <w:tab/>
      <w:t>-</w:t>
    </w:r>
    <w:r w:rsidR="00854AAB">
      <w:rPr>
        <w:rStyle w:val="PageNumber"/>
      </w:rPr>
      <w:fldChar w:fldCharType="begin"/>
    </w:r>
    <w:r>
      <w:rPr>
        <w:rStyle w:val="PageNumber"/>
      </w:rPr>
      <w:instrText xml:space="preserve"> PAGE </w:instrText>
    </w:r>
    <w:r w:rsidR="00854AAB">
      <w:rPr>
        <w:rStyle w:val="PageNumber"/>
      </w:rPr>
      <w:fldChar w:fldCharType="separate"/>
    </w:r>
    <w:r w:rsidR="00C05D85">
      <w:rPr>
        <w:rStyle w:val="PageNumber"/>
        <w:noProof/>
      </w:rPr>
      <w:t>6</w:t>
    </w:r>
    <w:r w:rsidR="00854AAB">
      <w:rPr>
        <w:rStyle w:val="PageNumber"/>
      </w:rPr>
      <w:fldChar w:fldCharType="end"/>
    </w:r>
    <w:r>
      <w:rPr>
        <w:rStyle w:val="PageNumber"/>
      </w:rPr>
      <w:t>-</w:t>
    </w:r>
  </w:p>
  <w:p w:rsidR="00190957" w:rsidRDefault="00190957">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957" w:rsidRDefault="00190957">
      <w:r>
        <w:separator/>
      </w:r>
    </w:p>
  </w:footnote>
  <w:footnote w:type="continuationSeparator" w:id="1">
    <w:p w:rsidR="00190957" w:rsidRDefault="00190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57" w:rsidRDefault="00190957">
    <w:pPr>
      <w:tabs>
        <w:tab w:val="center" w:pos="4680"/>
      </w:tabs>
      <w:rPr>
        <w:sz w:val="28"/>
      </w:rPr>
    </w:pPr>
    <w:r>
      <w:rPr>
        <w:sz w:val="28"/>
      </w:rPr>
      <w:tab/>
    </w:r>
    <w:r>
      <w:rPr>
        <w:u w:val="single"/>
      </w:rPr>
      <w:t>CALENDAR ITEM NO.</w:t>
    </w:r>
    <w:r>
      <w:rPr>
        <w:sz w:val="28"/>
        <w:u w:val="single"/>
      </w:rPr>
      <w:t xml:space="preserve"> </w:t>
    </w:r>
    <w:r>
      <w:rPr>
        <w:b/>
        <w:sz w:val="36"/>
        <w:u w:val="single"/>
      </w:rPr>
      <w:t>C</w:t>
    </w:r>
    <w:r w:rsidR="00C05D85">
      <w:rPr>
        <w:b/>
        <w:sz w:val="36"/>
        <w:u w:val="single"/>
      </w:rPr>
      <w:t>37</w:t>
    </w:r>
    <w:r>
      <w:rPr>
        <w:sz w:val="28"/>
        <w:u w:val="single"/>
      </w:rPr>
      <w:t xml:space="preserve"> </w:t>
    </w:r>
    <w:r>
      <w:rPr>
        <w:u w:val="single"/>
      </w:rPr>
      <w:t>(CONT’D</w:t>
    </w:r>
    <w:r>
      <w:t>)</w:t>
    </w:r>
  </w:p>
  <w:p w:rsidR="00190957" w:rsidRDefault="00190957">
    <w:pPr>
      <w:spacing w:line="240" w:lineRule="exact"/>
    </w:pPr>
  </w:p>
  <w:p w:rsidR="00190957" w:rsidRDefault="00190957">
    <w:pPr>
      <w:spacing w:line="240" w:lineRule="exact"/>
    </w:pPr>
  </w:p>
  <w:p w:rsidR="00190957" w:rsidRDefault="00190957">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64536"/>
    <w:multiLevelType w:val="hybridMultilevel"/>
    <w:tmpl w:val="E220992E"/>
    <w:lvl w:ilvl="0" w:tplc="E9A02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306840"/>
    <w:multiLevelType w:val="hybridMultilevel"/>
    <w:tmpl w:val="82E28048"/>
    <w:lvl w:ilvl="0" w:tplc="8A125D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DB0B7D"/>
    <w:multiLevelType w:val="hybridMultilevel"/>
    <w:tmpl w:val="64B01716"/>
    <w:lvl w:ilvl="0" w:tplc="0D62C98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DF75EE"/>
    <w:multiLevelType w:val="hybridMultilevel"/>
    <w:tmpl w:val="EAA8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A86B1F"/>
    <w:multiLevelType w:val="hybridMultilevel"/>
    <w:tmpl w:val="D9D8B612"/>
    <w:lvl w:ilvl="0" w:tplc="6F14C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6E5EA1"/>
    <w:multiLevelType w:val="hybridMultilevel"/>
    <w:tmpl w:val="2166A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457489"/>
    <w:multiLevelType w:val="hybridMultilevel"/>
    <w:tmpl w:val="D7B25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7"/>
  </w:num>
  <w:num w:numId="2">
    <w:abstractNumId w:val="2"/>
  </w:num>
  <w:num w:numId="3">
    <w:abstractNumId w:val="3"/>
  </w:num>
  <w:num w:numId="4">
    <w:abstractNumId w:val="1"/>
  </w:num>
  <w:num w:numId="5">
    <w:abstractNumId w:val="4"/>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2FB7"/>
    <w:rsid w:val="000068EF"/>
    <w:rsid w:val="00044221"/>
    <w:rsid w:val="000533D2"/>
    <w:rsid w:val="0005372E"/>
    <w:rsid w:val="000938E7"/>
    <w:rsid w:val="000B4AF0"/>
    <w:rsid w:val="00111336"/>
    <w:rsid w:val="001166FB"/>
    <w:rsid w:val="00120F32"/>
    <w:rsid w:val="00121D88"/>
    <w:rsid w:val="00190957"/>
    <w:rsid w:val="001C702D"/>
    <w:rsid w:val="001E23B8"/>
    <w:rsid w:val="00216DA0"/>
    <w:rsid w:val="00224EED"/>
    <w:rsid w:val="00237706"/>
    <w:rsid w:val="0027136A"/>
    <w:rsid w:val="00283BDB"/>
    <w:rsid w:val="002B4672"/>
    <w:rsid w:val="002D7F43"/>
    <w:rsid w:val="002F3DEA"/>
    <w:rsid w:val="0030351D"/>
    <w:rsid w:val="00325E4D"/>
    <w:rsid w:val="00352B55"/>
    <w:rsid w:val="00381FAF"/>
    <w:rsid w:val="004105F4"/>
    <w:rsid w:val="00432962"/>
    <w:rsid w:val="004616EC"/>
    <w:rsid w:val="004651DF"/>
    <w:rsid w:val="00466A4E"/>
    <w:rsid w:val="00484B33"/>
    <w:rsid w:val="00496BCC"/>
    <w:rsid w:val="004A716A"/>
    <w:rsid w:val="00576FA5"/>
    <w:rsid w:val="00577B7F"/>
    <w:rsid w:val="00592E52"/>
    <w:rsid w:val="005A07AF"/>
    <w:rsid w:val="005B2FB7"/>
    <w:rsid w:val="005E434E"/>
    <w:rsid w:val="005E4BD9"/>
    <w:rsid w:val="00603B21"/>
    <w:rsid w:val="006223D9"/>
    <w:rsid w:val="00647343"/>
    <w:rsid w:val="006E0FB7"/>
    <w:rsid w:val="006E37AE"/>
    <w:rsid w:val="0070622D"/>
    <w:rsid w:val="0071073C"/>
    <w:rsid w:val="00755A3B"/>
    <w:rsid w:val="00764B9B"/>
    <w:rsid w:val="007D1B55"/>
    <w:rsid w:val="00803F99"/>
    <w:rsid w:val="008503A3"/>
    <w:rsid w:val="00852099"/>
    <w:rsid w:val="00854AAB"/>
    <w:rsid w:val="00891228"/>
    <w:rsid w:val="008A1016"/>
    <w:rsid w:val="008B5A6A"/>
    <w:rsid w:val="008D699C"/>
    <w:rsid w:val="00925149"/>
    <w:rsid w:val="00937797"/>
    <w:rsid w:val="009764AC"/>
    <w:rsid w:val="00A12C3A"/>
    <w:rsid w:val="00A32960"/>
    <w:rsid w:val="00A45EAE"/>
    <w:rsid w:val="00A56DA4"/>
    <w:rsid w:val="00A72A44"/>
    <w:rsid w:val="00AA3FAC"/>
    <w:rsid w:val="00AA5497"/>
    <w:rsid w:val="00AF3BD1"/>
    <w:rsid w:val="00AF67E4"/>
    <w:rsid w:val="00B016BB"/>
    <w:rsid w:val="00B043D4"/>
    <w:rsid w:val="00B223A6"/>
    <w:rsid w:val="00B374F7"/>
    <w:rsid w:val="00B45E94"/>
    <w:rsid w:val="00B9716B"/>
    <w:rsid w:val="00BA1EEF"/>
    <w:rsid w:val="00BA2B6A"/>
    <w:rsid w:val="00BD3186"/>
    <w:rsid w:val="00BF5DD9"/>
    <w:rsid w:val="00C05D85"/>
    <w:rsid w:val="00C308D0"/>
    <w:rsid w:val="00C3723D"/>
    <w:rsid w:val="00C741A4"/>
    <w:rsid w:val="00C82B21"/>
    <w:rsid w:val="00C920CB"/>
    <w:rsid w:val="00CD35F3"/>
    <w:rsid w:val="00D14F60"/>
    <w:rsid w:val="00D27C5A"/>
    <w:rsid w:val="00D70444"/>
    <w:rsid w:val="00D84EED"/>
    <w:rsid w:val="00DA5DDA"/>
    <w:rsid w:val="00DA7B2F"/>
    <w:rsid w:val="00DD386B"/>
    <w:rsid w:val="00DF3293"/>
    <w:rsid w:val="00E23382"/>
    <w:rsid w:val="00E46549"/>
    <w:rsid w:val="00EA297E"/>
    <w:rsid w:val="00ED3746"/>
    <w:rsid w:val="00F023E2"/>
    <w:rsid w:val="00F97A26"/>
    <w:rsid w:val="00FA49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A26"/>
    <w:rPr>
      <w:rFonts w:ascii="Arial" w:hAnsi="Arial"/>
      <w:sz w:val="24"/>
    </w:rPr>
  </w:style>
  <w:style w:type="paragraph" w:styleId="Heading1">
    <w:name w:val="heading 1"/>
    <w:basedOn w:val="Normal"/>
    <w:next w:val="Normal"/>
    <w:qFormat/>
    <w:rsid w:val="00F97A26"/>
    <w:pPr>
      <w:keepNext/>
      <w:tabs>
        <w:tab w:val="center" w:pos="4680"/>
        <w:tab w:val="right" w:pos="9360"/>
      </w:tabs>
      <w:outlineLvl w:val="0"/>
    </w:pPr>
    <w:rPr>
      <w:b/>
    </w:rPr>
  </w:style>
  <w:style w:type="paragraph" w:styleId="Heading2">
    <w:name w:val="heading 2"/>
    <w:basedOn w:val="Normal"/>
    <w:next w:val="Normal"/>
    <w:qFormat/>
    <w:rsid w:val="00F97A26"/>
    <w:pPr>
      <w:keepNext/>
      <w:jc w:val="center"/>
      <w:outlineLvl w:val="1"/>
    </w:pPr>
    <w:rPr>
      <w:b/>
    </w:rPr>
  </w:style>
  <w:style w:type="paragraph" w:styleId="Heading3">
    <w:name w:val="heading 3"/>
    <w:basedOn w:val="Normal"/>
    <w:next w:val="Normal"/>
    <w:qFormat/>
    <w:rsid w:val="00F97A26"/>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7A26"/>
    <w:pPr>
      <w:tabs>
        <w:tab w:val="center" w:pos="4320"/>
        <w:tab w:val="right" w:pos="8640"/>
      </w:tabs>
    </w:pPr>
  </w:style>
  <w:style w:type="paragraph" w:styleId="Footer">
    <w:name w:val="footer"/>
    <w:basedOn w:val="Normal"/>
    <w:rsid w:val="00F97A26"/>
    <w:pPr>
      <w:tabs>
        <w:tab w:val="center" w:pos="4320"/>
        <w:tab w:val="right" w:pos="8640"/>
      </w:tabs>
    </w:pPr>
  </w:style>
  <w:style w:type="paragraph" w:styleId="BlockText">
    <w:name w:val="Block Text"/>
    <w:basedOn w:val="Normal"/>
    <w:rsid w:val="00F97A26"/>
    <w:pPr>
      <w:ind w:left="1440" w:right="-432"/>
    </w:pPr>
  </w:style>
  <w:style w:type="paragraph" w:styleId="BodyText">
    <w:name w:val="Body Text"/>
    <w:basedOn w:val="Normal"/>
    <w:rsid w:val="00F97A26"/>
  </w:style>
  <w:style w:type="paragraph" w:styleId="BodyTextIndent2">
    <w:name w:val="Body Text Indent 2"/>
    <w:basedOn w:val="Normal"/>
    <w:rsid w:val="00F97A26"/>
    <w:pPr>
      <w:ind w:left="720"/>
    </w:pPr>
  </w:style>
  <w:style w:type="character" w:styleId="PageNumber">
    <w:name w:val="page number"/>
    <w:basedOn w:val="DefaultParagraphFont"/>
    <w:rsid w:val="00F97A26"/>
  </w:style>
  <w:style w:type="paragraph" w:styleId="BalloonText">
    <w:name w:val="Balloon Text"/>
    <w:basedOn w:val="Normal"/>
    <w:link w:val="BalloonTextChar"/>
    <w:rsid w:val="00E46549"/>
    <w:rPr>
      <w:rFonts w:ascii="Tahoma" w:hAnsi="Tahoma" w:cs="Tahoma"/>
      <w:sz w:val="16"/>
      <w:szCs w:val="16"/>
    </w:rPr>
  </w:style>
  <w:style w:type="character" w:customStyle="1" w:styleId="BalloonTextChar">
    <w:name w:val="Balloon Text Char"/>
    <w:basedOn w:val="DefaultParagraphFont"/>
    <w:link w:val="BalloonText"/>
    <w:rsid w:val="00E46549"/>
    <w:rPr>
      <w:rFonts w:ascii="Tahoma" w:hAnsi="Tahoma" w:cs="Tahoma"/>
      <w:sz w:val="16"/>
      <w:szCs w:val="16"/>
    </w:rPr>
  </w:style>
  <w:style w:type="paragraph" w:styleId="BodyTextIndent">
    <w:name w:val="Body Text Indent"/>
    <w:basedOn w:val="Normal"/>
    <w:link w:val="BodyTextIndentChar"/>
    <w:rsid w:val="006223D9"/>
    <w:pPr>
      <w:spacing w:after="120"/>
      <w:ind w:left="360"/>
    </w:pPr>
  </w:style>
  <w:style w:type="character" w:customStyle="1" w:styleId="BodyTextIndentChar">
    <w:name w:val="Body Text Indent Char"/>
    <w:basedOn w:val="DefaultParagraphFont"/>
    <w:link w:val="BodyTextIndent"/>
    <w:rsid w:val="006223D9"/>
    <w:rPr>
      <w:rFonts w:ascii="Arial" w:hAnsi="Arial"/>
      <w:sz w:val="24"/>
    </w:rPr>
  </w:style>
  <w:style w:type="character" w:styleId="CommentReference">
    <w:name w:val="annotation reference"/>
    <w:basedOn w:val="DefaultParagraphFont"/>
    <w:rsid w:val="00DA7B2F"/>
    <w:rPr>
      <w:sz w:val="16"/>
      <w:szCs w:val="16"/>
    </w:rPr>
  </w:style>
  <w:style w:type="paragraph" w:styleId="CommentText">
    <w:name w:val="annotation text"/>
    <w:basedOn w:val="Normal"/>
    <w:link w:val="CommentTextChar"/>
    <w:rsid w:val="00DA7B2F"/>
    <w:rPr>
      <w:sz w:val="20"/>
    </w:rPr>
  </w:style>
  <w:style w:type="character" w:customStyle="1" w:styleId="CommentTextChar">
    <w:name w:val="Comment Text Char"/>
    <w:basedOn w:val="DefaultParagraphFont"/>
    <w:link w:val="CommentText"/>
    <w:rsid w:val="00DA7B2F"/>
    <w:rPr>
      <w:rFonts w:ascii="Arial" w:hAnsi="Arial"/>
    </w:rPr>
  </w:style>
  <w:style w:type="paragraph" w:styleId="CommentSubject">
    <w:name w:val="annotation subject"/>
    <w:basedOn w:val="CommentText"/>
    <w:next w:val="CommentText"/>
    <w:link w:val="CommentSubjectChar"/>
    <w:rsid w:val="00DA7B2F"/>
    <w:rPr>
      <w:b/>
      <w:bCs/>
    </w:rPr>
  </w:style>
  <w:style w:type="character" w:customStyle="1" w:styleId="CommentSubjectChar">
    <w:name w:val="Comment Subject Char"/>
    <w:basedOn w:val="CommentTextChar"/>
    <w:link w:val="CommentSubject"/>
    <w:rsid w:val="00DA7B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OG.slc\Local%20Settings\Temporary%20Internet%20Files\Content.MSO\8A9FF07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94AA-03C8-4A2F-93D0-A929B03C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8A9FF07D.dot</Template>
  <TotalTime>14</TotalTime>
  <Pages>6</Pages>
  <Words>2134</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Grace Kato</dc:creator>
  <cp:keywords/>
  <cp:lastModifiedBy>Lynda Smallwood</cp:lastModifiedBy>
  <cp:revision>3</cp:revision>
  <cp:lastPrinted>2009-05-23T00:08:00Z</cp:lastPrinted>
  <dcterms:created xsi:type="dcterms:W3CDTF">2009-05-23T00:09:00Z</dcterms:created>
  <dcterms:modified xsi:type="dcterms:W3CDTF">2009-05-27T20:31:00Z</dcterms:modified>
</cp:coreProperties>
</file>